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31A50" w14:textId="77777777" w:rsidR="002067FB" w:rsidRPr="003E4449" w:rsidRDefault="008B4844" w:rsidP="007C3777">
      <w:pPr>
        <w:pStyle w:val="berschrift1"/>
        <w:rPr>
          <w:rFonts w:cs="Arial"/>
        </w:rPr>
      </w:pPr>
      <w:r>
        <w:t>Folha de solução Caixa de câmbio Modelo 3 – Talha e roda de eixo</w:t>
      </w:r>
    </w:p>
    <w:p w14:paraId="084530EE" w14:textId="77777777" w:rsidR="002067FB" w:rsidRPr="003E4449" w:rsidRDefault="005A19AC" w:rsidP="00E8187C">
      <w:pPr>
        <w:pStyle w:val="Abstract"/>
        <w:rPr>
          <w:rFonts w:ascii="Arial" w:hAnsi="Arial" w:cs="Arial"/>
        </w:rPr>
      </w:pPr>
      <w:r>
        <w:rPr>
          <w:rFonts w:ascii="Arial" w:hAnsi="Arial"/>
        </w:rPr>
        <w:t>Os alunos são auxiliados na construção e resolução de tarefas individuais através do fornecimento de instruções de montagem (veja anexo). Nas tarefas onde isto é útil, isso é indicado no início da folha de solução.</w:t>
      </w:r>
    </w:p>
    <w:p w14:paraId="6172C0F9" w14:textId="77777777" w:rsidR="0092227A" w:rsidRDefault="0092227A" w:rsidP="000645D9">
      <w:pPr>
        <w:rPr>
          <w:rFonts w:ascii="Arial" w:hAnsi="Arial" w:cs="Arial"/>
        </w:rPr>
      </w:pPr>
      <w:r>
        <w:rPr>
          <w:rFonts w:ascii="Arial" w:hAnsi="Arial"/>
          <w:i/>
          <w:iCs/>
        </w:rPr>
        <w:t>Nota sobre a história da tecnologia</w:t>
      </w:r>
      <w:r>
        <w:rPr>
          <w:rFonts w:ascii="Arial" w:hAnsi="Arial"/>
        </w:rPr>
        <w:t xml:space="preserve">: A data da invenção da talha não é conhecida. As descrições mais antigas conhecidas de talhas vêm do romano </w:t>
      </w:r>
      <w:r>
        <w:rPr>
          <w:rFonts w:ascii="Arial" w:hAnsi="Arial"/>
          <w:i/>
          <w:iCs/>
        </w:rPr>
        <w:t>Marcus Vitruvius Pollo</w:t>
      </w:r>
      <w:r>
        <w:rPr>
          <w:rFonts w:ascii="Arial" w:hAnsi="Arial"/>
        </w:rPr>
        <w:t xml:space="preserve"> (aprox. 80-15 a.C.), que descreveu o conhecimento construtivo da época em seus "Dez Livros sobre Arquitetura". Entre elas estão também as rodas de eixo, que foram utilizadas em guindastes de construção romanos.</w:t>
      </w:r>
    </w:p>
    <w:p w14:paraId="0A61F83C" w14:textId="77777777" w:rsidR="007C3777" w:rsidRDefault="007C3777" w:rsidP="000645D9">
      <w:pPr>
        <w:rPr>
          <w:rFonts w:ascii="Arial" w:hAnsi="Arial" w:cs="Arial"/>
        </w:rPr>
      </w:pPr>
    </w:p>
    <w:p w14:paraId="6B7CDF39" w14:textId="77777777" w:rsidR="008D44FE" w:rsidRPr="003E4449" w:rsidRDefault="008D44FE" w:rsidP="008D44FE">
      <w:pPr>
        <w:pStyle w:val="berschrift2"/>
        <w:rPr>
          <w:rFonts w:cs="Arial"/>
        </w:rPr>
      </w:pPr>
      <w:r>
        <w:t>Pergunta temática</w:t>
      </w:r>
    </w:p>
    <w:p w14:paraId="308C8E36" w14:textId="77777777" w:rsidR="008D44FE" w:rsidRDefault="00B638A7" w:rsidP="00E470C4">
      <w:pPr>
        <w:rPr>
          <w:rFonts w:ascii="Arial" w:hAnsi="Arial" w:cs="Arial"/>
        </w:rPr>
      </w:pPr>
      <w:r>
        <w:rPr>
          <w:rFonts w:ascii="Arial" w:hAnsi="Arial"/>
        </w:rPr>
        <w:t>1. O número exato de voltas da manivela depende da espessura do tambor do cabo, ou seja, da quantidade de cabo já enrolada. Sem a talha são três boas rotações, no caso a) cerca de seis e meia, no caso b) pouco menos de 10 e no caso c) 13.</w:t>
      </w:r>
    </w:p>
    <w:p w14:paraId="1B3874E0" w14:textId="77777777" w:rsidR="00B638A7" w:rsidRDefault="00B638A7" w:rsidP="00B638A7">
      <w:pPr>
        <w:rPr>
          <w:rFonts w:ascii="Arial" w:hAnsi="Arial" w:cs="Arial"/>
        </w:rPr>
      </w:pPr>
      <w:r>
        <w:rPr>
          <w:rFonts w:ascii="Arial" w:hAnsi="Arial"/>
        </w:rPr>
        <w:t>2. A amplificação da potência é inversamente proporcional ao comprimento de cabo necessário. O caso a) duplica a potência, o caso b) a triplica e o caso c) a quadruplica. A amplificação da potência pode ser contada pelo número de laços do cabo.</w:t>
      </w:r>
    </w:p>
    <w:p w14:paraId="5FE8853F" w14:textId="77777777" w:rsidR="00CF5008" w:rsidRDefault="00CF5008" w:rsidP="00CF5008">
      <w:pPr>
        <w:rPr>
          <w:rFonts w:ascii="Arial" w:hAnsi="Arial" w:cs="Arial"/>
        </w:rPr>
      </w:pPr>
      <w:r>
        <w:rPr>
          <w:rFonts w:ascii="Arial" w:hAnsi="Arial"/>
        </w:rPr>
        <w:t>3. Isto também explica a designação "talha de fator": O número de roldanas utilizadas é o fator de amplificação da potência.</w:t>
      </w:r>
    </w:p>
    <w:p w14:paraId="764CB3DA" w14:textId="77777777" w:rsidR="007C3777" w:rsidRPr="003E4449" w:rsidRDefault="007C3777" w:rsidP="00CF5008">
      <w:pPr>
        <w:rPr>
          <w:rFonts w:ascii="Arial" w:hAnsi="Arial" w:cs="Arial"/>
        </w:rPr>
      </w:pPr>
    </w:p>
    <w:p w14:paraId="779C9699" w14:textId="77777777" w:rsidR="008D44FE" w:rsidRPr="003E4449" w:rsidRDefault="008D44FE" w:rsidP="008D44FE">
      <w:pPr>
        <w:pStyle w:val="berschrift2"/>
        <w:rPr>
          <w:rFonts w:cs="Arial"/>
        </w:rPr>
      </w:pPr>
      <w:r>
        <w:t>Tarefa experimental</w:t>
      </w:r>
    </w:p>
    <w:p w14:paraId="4D4A54B5" w14:textId="77777777" w:rsidR="008D44FE" w:rsidRDefault="00B638A7" w:rsidP="003276DE">
      <w:pPr>
        <w:rPr>
          <w:rFonts w:ascii="Arial" w:hAnsi="Arial" w:cs="Arial"/>
        </w:rPr>
      </w:pPr>
      <w:r>
        <w:rPr>
          <w:rFonts w:ascii="Arial" w:hAnsi="Arial"/>
        </w:rPr>
        <w:t xml:space="preserve">1. A amplificação da potência da roda de eixo corresponde à relação entre a alavanca longa e o raio do tambor do cabo. Se o cabo é enrolado diretamente no tambor (diâmetro 0,7 cm) e a mão agarra o meio do adaptador de trava, então a amplificação no caso a) é de 4,5/0,35 </w:t>
      </w:r>
      <w:r>
        <w:rPr>
          <w:rFonts w:ascii="Calibri" w:hAnsi="Calibri"/>
        </w:rPr>
        <w:t>≈</w:t>
      </w:r>
      <w:r>
        <w:rPr>
          <w:rFonts w:ascii="Arial" w:hAnsi="Arial"/>
        </w:rPr>
        <w:t xml:space="preserve"> 12,85 e no caso b) 6/0,35 </w:t>
      </w:r>
      <w:r>
        <w:rPr>
          <w:rFonts w:ascii="Calibri" w:hAnsi="Calibri"/>
        </w:rPr>
        <w:t>≈</w:t>
      </w:r>
      <w:r>
        <w:rPr>
          <w:rFonts w:ascii="Arial" w:hAnsi="Arial"/>
        </w:rPr>
        <w:t xml:space="preserve"> de 17,14. </w:t>
      </w:r>
    </w:p>
    <w:p w14:paraId="37A07799" w14:textId="77777777" w:rsidR="00B2350A" w:rsidRDefault="00C82D0D" w:rsidP="000645D9">
      <w:pPr>
        <w:rPr>
          <w:rFonts w:ascii="Arial" w:hAnsi="Arial" w:cs="Arial"/>
        </w:rPr>
      </w:pPr>
      <w:r>
        <w:rPr>
          <w:rFonts w:ascii="Arial" w:hAnsi="Arial"/>
        </w:rPr>
        <w:t xml:space="preserve">O raio do tambor do cabo aumenta com a quantidade de cabo enrolada; dessa forma, a amplificação da potência diminui. Ao comparar a roda de eixo com a manivela, deve-se levar em conta que a manivela também já produz uma amplificação da potência por um fator de aproximadamente 1,2/0,35 </w:t>
      </w:r>
      <w:r>
        <w:rPr>
          <w:rFonts w:ascii="Calibri" w:hAnsi="Calibri"/>
        </w:rPr>
        <w:t>≈</w:t>
      </w:r>
      <w:r>
        <w:rPr>
          <w:rFonts w:ascii="Arial" w:hAnsi="Arial"/>
        </w:rPr>
        <w:t xml:space="preserve"> 3,42.</w:t>
      </w:r>
    </w:p>
    <w:p w14:paraId="22190C3D" w14:textId="77777777" w:rsidR="00C82D0D" w:rsidRDefault="00C82D0D" w:rsidP="00B2350A">
      <w:pPr>
        <w:rPr>
          <w:rFonts w:ascii="Arial" w:hAnsi="Arial" w:cs="Arial"/>
        </w:rPr>
      </w:pPr>
      <w:r>
        <w:rPr>
          <w:rFonts w:ascii="Arial" w:hAnsi="Arial"/>
        </w:rPr>
        <w:t>2. O "comprimento do caminho" a ser percorrido ao girar a roda de eixo aumenta proporcionalmente com a amplificação da potência. (Isto é fácil de tornar plausível, já que a circunferência do círculo é U = 2 π r, portanto, uma multiplicação do raio pelo mesmo fator entra no cálculo da circunferência do círculo).</w:t>
      </w:r>
    </w:p>
    <w:p w14:paraId="35F749F7" w14:textId="77777777" w:rsidR="00D82084" w:rsidRDefault="00660776" w:rsidP="000645D9">
      <w:pPr>
        <w:rPr>
          <w:rFonts w:ascii="Arial" w:hAnsi="Arial" w:cs="Arial"/>
        </w:rPr>
      </w:pPr>
      <w:r>
        <w:rPr>
          <w:rFonts w:ascii="Arial" w:hAnsi="Arial"/>
        </w:rPr>
        <w:t xml:space="preserve">3. Uma grande amplificação da potência pode ser alcançada rapidamente na roda de eixo com apenas alguns meios. Um grande número de roldanas adicionais são necessárias na talha para este fim. Se as roldanas da talha de fator estiverem </w:t>
      </w:r>
      <w:r>
        <w:rPr>
          <w:rFonts w:ascii="Arial" w:hAnsi="Arial"/>
        </w:rPr>
        <w:lastRenderedPageBreak/>
        <w:t>dispostas uma abaixo da outra, a distância do curso é encurtada. Entretanto, isto pode ser evitado organizando as roldanas em paralelo. Entretanto, o comprimento de cabo adicional necessário deve caber no tambor do cabo. Vantagem disso: O peso a ser levantado é distribuído pelas lingas; portanto, um cabo de tração mais estável não é necessário para pesos maiores.</w:t>
      </w:r>
    </w:p>
    <w:p w14:paraId="6ADD5F58" w14:textId="77777777" w:rsidR="003F5601" w:rsidRDefault="00D82084" w:rsidP="007C3777">
      <w:pPr>
        <w:rPr>
          <w:rFonts w:ascii="Arial" w:hAnsi="Arial" w:cs="Arial"/>
        </w:rPr>
      </w:pPr>
      <w:r>
        <w:rPr>
          <w:rFonts w:ascii="Arial" w:hAnsi="Arial"/>
        </w:rPr>
        <w:t>A alavanca na roda de eixo e o cabo de tração, por outro lado, devem admitir toda a potência amplificada ou o peso a ser levantado e, portanto, devem ser concebidos para ser mais potente para pesos maiores. Uma alavanca mais longa na roda de eixo também requer uma superfície de rodagem redonda, correspondentemente maior ao redor da roda de eixo. Uma vez que a força de tração no tambor do cabo aumenta com o peso a ser levantado, uma roda de eixo também deve ter uma lingueta.</w:t>
      </w:r>
    </w:p>
    <w:p w14:paraId="499FB246" w14:textId="77777777" w:rsidR="005A19AC" w:rsidRDefault="005A19AC">
      <w:pPr>
        <w:spacing w:after="0"/>
        <w:jc w:val="left"/>
        <w:rPr>
          <w:rFonts w:ascii="Arial" w:hAnsi="Arial" w:cs="Arial"/>
        </w:rPr>
      </w:pPr>
      <w:r>
        <w:br w:type="page"/>
      </w:r>
    </w:p>
    <w:p w14:paraId="0E86F249" w14:textId="15FA6C54" w:rsidR="005A19AC" w:rsidRDefault="00603DBD" w:rsidP="005A19AC">
      <w:pPr>
        <w:pStyle w:val="Titel"/>
      </w:pPr>
      <w:r>
        <w:t>Anexo</w:t>
      </w:r>
      <w:bookmarkStart w:id="0" w:name="_GoBack"/>
      <w:bookmarkEnd w:id="0"/>
    </w:p>
    <w:p w14:paraId="6A099F9A" w14:textId="0269749A" w:rsidR="005A19AC" w:rsidRDefault="005A19AC" w:rsidP="00776219">
      <w:pPr>
        <w:pStyle w:val="berschrift2"/>
      </w:pPr>
      <w:r>
        <w:t>Instruções de montagem e modelos para a caixa de câmbio e modelos:</w:t>
      </w:r>
    </w:p>
    <w:p w14:paraId="0E3CC2EC" w14:textId="136F5064" w:rsidR="005A19AC" w:rsidRDefault="007C3777" w:rsidP="00384D30">
      <w:pPr>
        <w:jc w:val="left"/>
        <w:rPr>
          <w:rFonts w:ascii="Arial" w:hAnsi="Arial" w:cs="Arial"/>
        </w:rPr>
      </w:pPr>
      <w:r>
        <w:rPr>
          <w:rFonts w:ascii="Arial" w:hAnsi="Arial"/>
        </w:rPr>
        <w:t>Modelo 3: Instruções de montagem da talha com guincho, instruções de montagem da talha com roda de eixo</w:t>
      </w:r>
    </w:p>
    <w:sectPr w:rsidR="005A19AC"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87A72" w14:textId="77777777" w:rsidR="00D16BFA" w:rsidRDefault="00D16BFA">
      <w:r>
        <w:separator/>
      </w:r>
    </w:p>
  </w:endnote>
  <w:endnote w:type="continuationSeparator" w:id="0">
    <w:p w14:paraId="49CA2C49"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7A4E5" w14:textId="77777777" w:rsidR="00CB4B96" w:rsidRDefault="00CB4B96">
    <w:pPr>
      <w:pStyle w:val="Fuzeile"/>
    </w:pPr>
    <w:r>
      <w:fldChar w:fldCharType="begin"/>
    </w:r>
    <w:r>
      <w:instrText>PAGE   \* MERGEFORMAT</w:instrText>
    </w:r>
    <w:r>
      <w:fldChar w:fldCharType="separate"/>
    </w:r>
    <w:r w:rsidR="00123AA0">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31A0F" w14:textId="77777777" w:rsidR="00CB4B96" w:rsidRDefault="00CB4B96">
    <w:pPr>
      <w:pStyle w:val="Fuzeile"/>
    </w:pPr>
    <w:r>
      <w:tab/>
    </w:r>
    <w:r>
      <w:tab/>
    </w:r>
    <w:r>
      <w:fldChar w:fldCharType="begin"/>
    </w:r>
    <w:r>
      <w:instrText>PAGE   \* MERGEFORMAT</w:instrText>
    </w:r>
    <w:r>
      <w:fldChar w:fldCharType="separate"/>
    </w:r>
    <w:r w:rsidR="00603DB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E8165" w14:textId="77777777" w:rsidR="00D16BFA" w:rsidRDefault="00D16BFA">
      <w:r>
        <w:separator/>
      </w:r>
    </w:p>
  </w:footnote>
  <w:footnote w:type="continuationSeparator" w:id="0">
    <w:p w14:paraId="47488898" w14:textId="77777777" w:rsidR="00D16BFA" w:rsidRDefault="00D16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249E0" w14:textId="77777777" w:rsidR="00CB4B96" w:rsidRDefault="00CB4B96" w:rsidP="00E96821">
    <w:pPr>
      <w:pStyle w:val="Kopfzeile"/>
    </w:pPr>
    <w:r>
      <w:rPr>
        <w:szCs w:val="24"/>
        <w:highlight w:val="yellow"/>
      </w:rPr>
      <w:t>CAMPO DE TEMA</w:t>
    </w:r>
    <w:r>
      <w:t xml:space="preserve"> </w:t>
    </w:r>
    <w:r>
      <w:tab/>
    </w:r>
    <w:r>
      <w:tab/>
    </w:r>
    <w:r>
      <w:rPr>
        <w:noProof/>
        <w:lang w:val="de-DE"/>
      </w:rPr>
      <w:drawing>
        <wp:inline distT="0" distB="0" distL="0" distR="0" wp14:anchorId="73FE91D4" wp14:editId="082D56A6">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81A2F" w14:textId="77777777" w:rsidR="00CB4B96" w:rsidRDefault="00CB4B96" w:rsidP="00745BCD">
    <w:pPr>
      <w:pStyle w:val="Kopfzeile"/>
      <w:tabs>
        <w:tab w:val="clear" w:pos="4535"/>
        <w:tab w:val="center" w:pos="6521"/>
      </w:tabs>
    </w:pPr>
    <w:r>
      <w:rPr>
        <w:noProof/>
        <w:lang w:val="de-DE"/>
      </w:rPr>
      <w:drawing>
        <wp:anchor distT="0" distB="0" distL="114300" distR="114300" simplePos="0" relativeHeight="251658240" behindDoc="0" locked="0" layoutInCell="1" allowOverlap="1" wp14:anchorId="4E61CFAF" wp14:editId="19693AF4">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Caixa de câmbio - Conjunto de classes Nível secundário I+II</w:t>
    </w:r>
    <w:r>
      <w:tab/>
    </w:r>
    <w:r>
      <w:tab/>
    </w:r>
    <w:r>
      <w:rPr>
        <w:noProof/>
        <w:lang w:val="de-DE"/>
      </w:rPr>
      <w:drawing>
        <wp:inline distT="0" distB="0" distL="0" distR="0" wp14:anchorId="750755F7" wp14:editId="3579CED4">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17C12"/>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D6985"/>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3C3E"/>
    <w:rsid w:val="005C6BE9"/>
    <w:rsid w:val="005D2CD9"/>
    <w:rsid w:val="005E57C1"/>
    <w:rsid w:val="005F6FD5"/>
    <w:rsid w:val="005F7EED"/>
    <w:rsid w:val="00603326"/>
    <w:rsid w:val="00603DBD"/>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5BCD"/>
    <w:rsid w:val="00746124"/>
    <w:rsid w:val="00747754"/>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C3777"/>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55EB7"/>
    <w:rsid w:val="00965E72"/>
    <w:rsid w:val="00981AA1"/>
    <w:rsid w:val="00981D89"/>
    <w:rsid w:val="0098265E"/>
    <w:rsid w:val="00994BF9"/>
    <w:rsid w:val="009972A6"/>
    <w:rsid w:val="009A25AA"/>
    <w:rsid w:val="009A6161"/>
    <w:rsid w:val="009C354D"/>
    <w:rsid w:val="009C52DC"/>
    <w:rsid w:val="009D3D07"/>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80D"/>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C1655E"/>
    <w:rsid w:val="00C17CA0"/>
    <w:rsid w:val="00C23343"/>
    <w:rsid w:val="00C247E9"/>
    <w:rsid w:val="00C35FA3"/>
    <w:rsid w:val="00C57C03"/>
    <w:rsid w:val="00C57FCC"/>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BAB9C8"/>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pt-BR" w:eastAsia="de-DE" w:bidi="ar-SA"/>
    </w:rPr>
  </w:style>
  <w:style w:type="character" w:customStyle="1" w:styleId="Titel1Zchn">
    <w:name w:val="Titel (1) Zchn"/>
    <w:basedOn w:val="TitelZchn"/>
    <w:link w:val="Titel1"/>
    <w:rsid w:val="00CA31C2"/>
    <w:rPr>
      <w:rFonts w:ascii="Arial" w:hAnsi="Arial"/>
      <w:b/>
      <w:sz w:val="48"/>
      <w:szCs w:val="40"/>
      <w:lang w:val="pt-BR"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047a197-46ab-4299-92cd-ec119e6fe81f"/>
    <ds:schemaRef ds:uri="ea79bf52-7098-41fc-8881-a3872bd99c43"/>
    <ds:schemaRef ds:uri="http://www.w3.org/XML/1998/namespace"/>
    <ds:schemaRef ds:uri="http://purl.org/dc/dcmitype/"/>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54352B90-85D0-4429-8DED-16026841B99A}"/>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610</Words>
  <Characters>2873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3477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Edição 1/2011</dc:subject>
  <dc:creator>Dirk Fox</dc:creator>
  <cp:keywords/>
  <dc:description/>
  <cp:lastModifiedBy>Seiler, Lisa</cp:lastModifiedBy>
  <cp:revision>4</cp:revision>
  <cp:lastPrinted>2021-01-03T21:38:00Z</cp:lastPrinted>
  <dcterms:created xsi:type="dcterms:W3CDTF">2021-02-24T20:43:00Z</dcterms:created>
  <dcterms:modified xsi:type="dcterms:W3CDTF">2021-02-24T20:44:00Z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